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D239" w14:textId="1121EABC" w:rsidR="00914786" w:rsidRPr="00777E2D" w:rsidRDefault="004E5838" w:rsidP="002F171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</w:rPr>
      </w:pPr>
      <w:r w:rsidRPr="00741E21">
        <w:rPr>
          <w:rFonts w:ascii="Times New Roman" w:eastAsia="Times New Roman" w:hAnsi="Times New Roman" w:cs="Times New Roman"/>
          <w:b/>
          <w:sz w:val="44"/>
          <w:szCs w:val="44"/>
        </w:rPr>
        <w:softHyphen/>
      </w:r>
      <w:r w:rsidR="00806F6C" w:rsidRPr="00777E2D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</w:rPr>
        <w:t>Vermont Forward</w:t>
      </w:r>
      <w:r w:rsidR="00914786" w:rsidRPr="00777E2D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</w:rPr>
        <w:t xml:space="preserve"> Key-Points </w:t>
      </w:r>
      <w:r w:rsidR="002F171A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</w:rPr>
        <w:t>Addendum 1</w:t>
      </w:r>
    </w:p>
    <w:p w14:paraId="59289B37" w14:textId="77777777" w:rsidR="00914786" w:rsidRPr="00836D6C" w:rsidRDefault="00914786" w:rsidP="00914786">
      <w:pPr>
        <w:spacing w:before="278" w:after="0" w:line="274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36D6C">
        <w:rPr>
          <w:rFonts w:ascii="Times New Roman" w:eastAsia="Times New Roman" w:hAnsi="Times New Roman" w:cs="Times New Roman"/>
          <w:b/>
          <w:color w:val="000000"/>
          <w:sz w:val="24"/>
        </w:rPr>
        <w:t>Know the Symptoms of COVID-19</w:t>
      </w:r>
    </w:p>
    <w:p w14:paraId="315E47F7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COVID-19 affects different people in different ways. Infected people have had a wide range of symptoms reported – from mild symptoms to severe illness.</w:t>
      </w:r>
    </w:p>
    <w:p w14:paraId="4B3EB60A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A7642" w14:textId="3F701E14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b/>
          <w:bCs/>
          <w:sz w:val="24"/>
          <w:szCs w:val="24"/>
        </w:rPr>
        <w:t>Symptoms may appear 2-14 days after exposure to the virus. People with these symptoms may have COVID-19:</w:t>
      </w:r>
    </w:p>
    <w:p w14:paraId="0D3796CC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Fever or chills</w:t>
      </w:r>
    </w:p>
    <w:p w14:paraId="28A0DB44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Cough</w:t>
      </w:r>
    </w:p>
    <w:p w14:paraId="3E087A4C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 xml:space="preserve">Shortness of breath or difficulty </w:t>
      </w:r>
      <w:proofErr w:type="gramStart"/>
      <w:r w:rsidRPr="00836D6C">
        <w:rPr>
          <w:rFonts w:ascii="Times New Roman" w:eastAsia="Times New Roman" w:hAnsi="Times New Roman" w:cs="Times New Roman"/>
          <w:sz w:val="24"/>
          <w:szCs w:val="24"/>
        </w:rPr>
        <w:t>breathing</w:t>
      </w:r>
      <w:proofErr w:type="gramEnd"/>
    </w:p>
    <w:p w14:paraId="66489118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Fatigue</w:t>
      </w:r>
    </w:p>
    <w:p w14:paraId="08F33D9C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Muscle or body aches</w:t>
      </w:r>
    </w:p>
    <w:p w14:paraId="768F2EC2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Headache</w:t>
      </w:r>
    </w:p>
    <w:p w14:paraId="6E01C54E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New loss of taste or smell</w:t>
      </w:r>
    </w:p>
    <w:p w14:paraId="54FB32DA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Sore throat</w:t>
      </w:r>
    </w:p>
    <w:p w14:paraId="43DAB63A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Congestion or runny nose</w:t>
      </w:r>
    </w:p>
    <w:p w14:paraId="388DB187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Nausea or vomiting</w:t>
      </w:r>
    </w:p>
    <w:p w14:paraId="2EE05572" w14:textId="3FDA7021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>Diarrhea</w:t>
      </w:r>
    </w:p>
    <w:p w14:paraId="3A0C7B4E" w14:textId="77777777" w:rsidR="00914786" w:rsidRPr="00836D6C" w:rsidRDefault="00914786" w:rsidP="0091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2A958" w14:textId="77777777" w:rsidR="00377804" w:rsidRPr="00836D6C" w:rsidRDefault="00377804" w:rsidP="00377804">
      <w:pPr>
        <w:tabs>
          <w:tab w:val="left" w:pos="0"/>
          <w:tab w:val="left" w:pos="1512"/>
        </w:tabs>
        <w:spacing w:before="291" w:after="0" w:line="287" w:lineRule="exact"/>
        <w:ind w:right="72"/>
        <w:textAlignment w:val="baseline"/>
        <w:rPr>
          <w:rFonts w:ascii="Times New Roman" w:eastAsia="Times New Roman" w:hAnsi="Times New Roman" w:cs="Times New Roman"/>
          <w:b/>
          <w:caps/>
          <w:sz w:val="28"/>
        </w:rPr>
      </w:pPr>
      <w:r w:rsidRPr="00777E2D">
        <w:rPr>
          <w:rFonts w:ascii="Times New Roman" w:eastAsia="Times New Roman" w:hAnsi="Times New Roman" w:cs="Times New Roman"/>
          <w:b/>
          <w:caps/>
          <w:color w:val="538135" w:themeColor="accent6" w:themeShade="BF"/>
          <w:sz w:val="28"/>
        </w:rPr>
        <w:t xml:space="preserve">Prevent the spread of COVID-19 </w:t>
      </w:r>
    </w:p>
    <w:p w14:paraId="2D107FAE" w14:textId="77777777" w:rsidR="00377804" w:rsidRPr="00836D6C" w:rsidRDefault="00377804" w:rsidP="00377804">
      <w:pPr>
        <w:tabs>
          <w:tab w:val="left" w:pos="0"/>
          <w:tab w:val="left" w:pos="1512"/>
        </w:tabs>
        <w:spacing w:before="291" w:after="0" w:line="287" w:lineRule="exact"/>
        <w:ind w:right="72"/>
        <w:textAlignment w:val="baseline"/>
        <w:rPr>
          <w:rFonts w:ascii="Times New Roman" w:eastAsia="Times New Roman" w:hAnsi="Times New Roman" w:cs="Times New Roman"/>
          <w:sz w:val="24"/>
        </w:rPr>
      </w:pPr>
      <w:r w:rsidRPr="00836D6C">
        <w:rPr>
          <w:rFonts w:ascii="Times New Roman" w:eastAsia="Times New Roman" w:hAnsi="Times New Roman" w:cs="Times New Roman"/>
          <w:sz w:val="24"/>
        </w:rPr>
        <w:t xml:space="preserve">The requirements and recommendations in Preparedness Plans will help reduce the spread of COVID-19 and are based on the core principles below. Following the requirements and recommendations will reduce the risk of exposure to COVID-19 but will not eliminate it. COVID-19 is primarily spread through respiratory droplets produced when an infected person coughs, sneezes, or talks. Anytime people gather, the risk of spreading COVID-19 increases for everyone. </w:t>
      </w:r>
    </w:p>
    <w:p w14:paraId="2699CFA2" w14:textId="37BB71FB" w:rsidR="00377804" w:rsidRPr="00836D6C" w:rsidRDefault="00377804" w:rsidP="00377804">
      <w:pPr>
        <w:tabs>
          <w:tab w:val="left" w:pos="0"/>
          <w:tab w:val="left" w:pos="1512"/>
        </w:tabs>
        <w:spacing w:after="0" w:line="287" w:lineRule="exact"/>
        <w:ind w:right="72"/>
        <w:textAlignment w:val="baseline"/>
        <w:rPr>
          <w:rFonts w:ascii="Times New Roman" w:eastAsia="Times New Roman" w:hAnsi="Times New Roman" w:cs="Times New Roman"/>
          <w:sz w:val="24"/>
        </w:rPr>
      </w:pPr>
      <w:r w:rsidRPr="00836D6C">
        <w:rPr>
          <w:rFonts w:ascii="Times New Roman" w:eastAsia="Times New Roman" w:hAnsi="Times New Roman" w:cs="Times New Roman"/>
          <w:sz w:val="24"/>
        </w:rPr>
        <w:t xml:space="preserve">The best way to reduce your risk of getting sick from or spreading COVID-19 is to: </w:t>
      </w:r>
    </w:p>
    <w:p w14:paraId="75BF50B1" w14:textId="167B9B8C" w:rsidR="00377804" w:rsidRPr="00836D6C" w:rsidRDefault="00377804" w:rsidP="00377804">
      <w:pPr>
        <w:pStyle w:val="ListParagraph"/>
        <w:numPr>
          <w:ilvl w:val="0"/>
          <w:numId w:val="25"/>
        </w:numPr>
        <w:tabs>
          <w:tab w:val="left" w:pos="0"/>
          <w:tab w:val="left" w:pos="1512"/>
        </w:tabs>
        <w:spacing w:after="0" w:line="287" w:lineRule="exact"/>
        <w:ind w:right="72"/>
        <w:textAlignment w:val="baseline"/>
        <w:rPr>
          <w:rFonts w:ascii="Times New Roman" w:eastAsia="Times New Roman" w:hAnsi="Times New Roman" w:cs="Times New Roman"/>
          <w:sz w:val="24"/>
        </w:rPr>
      </w:pPr>
      <w:r w:rsidRPr="00836D6C">
        <w:rPr>
          <w:rFonts w:ascii="Times New Roman" w:eastAsia="Times New Roman" w:hAnsi="Times New Roman" w:cs="Times New Roman"/>
          <w:sz w:val="24"/>
        </w:rPr>
        <w:t xml:space="preserve">wear a well-fitting face covering, </w:t>
      </w:r>
    </w:p>
    <w:p w14:paraId="47878425" w14:textId="23ABA96B" w:rsidR="00377804" w:rsidRPr="00836D6C" w:rsidRDefault="00377804" w:rsidP="00377804">
      <w:pPr>
        <w:pStyle w:val="ListParagraph"/>
        <w:numPr>
          <w:ilvl w:val="0"/>
          <w:numId w:val="25"/>
        </w:numPr>
        <w:tabs>
          <w:tab w:val="left" w:pos="0"/>
          <w:tab w:val="left" w:pos="1512"/>
        </w:tabs>
        <w:spacing w:after="0" w:line="287" w:lineRule="exact"/>
        <w:ind w:right="72"/>
        <w:textAlignment w:val="baseline"/>
        <w:rPr>
          <w:rFonts w:ascii="Times New Roman" w:eastAsia="Times New Roman" w:hAnsi="Times New Roman" w:cs="Times New Roman"/>
          <w:sz w:val="24"/>
        </w:rPr>
      </w:pPr>
      <w:r w:rsidRPr="00836D6C">
        <w:rPr>
          <w:rFonts w:ascii="Times New Roman" w:eastAsia="Times New Roman" w:hAnsi="Times New Roman" w:cs="Times New Roman"/>
          <w:sz w:val="24"/>
        </w:rPr>
        <w:t xml:space="preserve">keep at least 6 feet of physical distance from people not in the same household, </w:t>
      </w:r>
    </w:p>
    <w:p w14:paraId="6B051080" w14:textId="3C56F291" w:rsidR="00246847" w:rsidRPr="00246847" w:rsidRDefault="00377804" w:rsidP="00246847">
      <w:pPr>
        <w:pStyle w:val="ListParagraph"/>
        <w:numPr>
          <w:ilvl w:val="0"/>
          <w:numId w:val="25"/>
        </w:numPr>
        <w:tabs>
          <w:tab w:val="left" w:pos="0"/>
          <w:tab w:val="left" w:pos="1512"/>
        </w:tabs>
        <w:spacing w:after="0" w:line="287" w:lineRule="exact"/>
        <w:ind w:right="72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836D6C">
        <w:rPr>
          <w:rFonts w:ascii="Times New Roman" w:eastAsia="Times New Roman" w:hAnsi="Times New Roman" w:cs="Times New Roman"/>
          <w:sz w:val="24"/>
        </w:rPr>
        <w:t>people who are sick or exposed to someone with COVID-19</w:t>
      </w:r>
      <w:r w:rsidR="00246847">
        <w:rPr>
          <w:rFonts w:ascii="Times New Roman" w:eastAsia="Times New Roman" w:hAnsi="Times New Roman" w:cs="Times New Roman"/>
          <w:sz w:val="24"/>
        </w:rPr>
        <w:t xml:space="preserve"> and have not been vaccinated,</w:t>
      </w:r>
      <w:r w:rsidRPr="00836D6C">
        <w:rPr>
          <w:rFonts w:ascii="Times New Roman" w:eastAsia="Times New Roman" w:hAnsi="Times New Roman" w:cs="Times New Roman"/>
          <w:sz w:val="24"/>
        </w:rPr>
        <w:t xml:space="preserve"> must stay home</w:t>
      </w:r>
      <w:r w:rsidR="00246847">
        <w:rPr>
          <w:rFonts w:ascii="Times New Roman" w:eastAsia="Times New Roman" w:hAnsi="Times New Roman" w:cs="Times New Roman"/>
          <w:sz w:val="24"/>
        </w:rPr>
        <w:t>.</w:t>
      </w:r>
    </w:p>
    <w:p w14:paraId="726E9CBD" w14:textId="35E0241C" w:rsidR="00377804" w:rsidRDefault="00377804" w:rsidP="00246847">
      <w:pPr>
        <w:tabs>
          <w:tab w:val="left" w:pos="0"/>
          <w:tab w:val="left" w:pos="1512"/>
        </w:tabs>
        <w:spacing w:after="0" w:line="287" w:lineRule="exact"/>
        <w:ind w:left="780" w:right="72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246847">
        <w:rPr>
          <w:rFonts w:ascii="Times New Roman" w:eastAsia="Times New Roman" w:hAnsi="Times New Roman" w:cs="Times New Roman"/>
          <w:b/>
          <w:bCs/>
          <w:sz w:val="24"/>
        </w:rPr>
        <w:t xml:space="preserve">Covid-19 vaccine is being administered across Vermont. </w:t>
      </w:r>
      <w:r w:rsidR="00246847">
        <w:rPr>
          <w:rFonts w:ascii="Times New Roman" w:eastAsia="Times New Roman" w:hAnsi="Times New Roman" w:cs="Times New Roman"/>
          <w:b/>
          <w:bCs/>
          <w:sz w:val="24"/>
        </w:rPr>
        <w:t>We encourage employees to get</w:t>
      </w:r>
      <w:r w:rsidRPr="00246847">
        <w:rPr>
          <w:rFonts w:ascii="Times New Roman" w:eastAsia="Times New Roman" w:hAnsi="Times New Roman" w:cs="Times New Roman"/>
          <w:b/>
          <w:bCs/>
          <w:sz w:val="24"/>
        </w:rPr>
        <w:t xml:space="preserve"> vaccinated when it is your turn. </w:t>
      </w:r>
      <w:r w:rsidR="00E55DA0" w:rsidRPr="00363136">
        <w:rPr>
          <w:rFonts w:ascii="Times New Roman" w:eastAsia="Times New Roman" w:hAnsi="Times New Roman" w:cs="Times New Roman"/>
          <w:b/>
          <w:bCs/>
          <w:sz w:val="24"/>
          <w:highlight w:val="yellow"/>
        </w:rPr>
        <w:t>Even after a person has recovered from COVID-19 or has not been fully vaccinated</w:t>
      </w:r>
      <w:r w:rsidR="00363136" w:rsidRPr="00363136">
        <w:rPr>
          <w:rFonts w:ascii="Times New Roman" w:eastAsia="Times New Roman" w:hAnsi="Times New Roman" w:cs="Times New Roman"/>
          <w:b/>
          <w:bCs/>
          <w:sz w:val="24"/>
          <w:highlight w:val="yellow"/>
        </w:rPr>
        <w:t xml:space="preserve"> they</w:t>
      </w:r>
      <w:r w:rsidR="00E55DA0" w:rsidRPr="00363136">
        <w:rPr>
          <w:rFonts w:ascii="Times New Roman" w:eastAsia="Times New Roman" w:hAnsi="Times New Roman" w:cs="Times New Roman"/>
          <w:b/>
          <w:bCs/>
          <w:sz w:val="24"/>
          <w:highlight w:val="yellow"/>
        </w:rPr>
        <w:t xml:space="preserve"> should continue to stay distanced, wear a mask that fits well, wash their hands often and follow other precautions.</w:t>
      </w:r>
    </w:p>
    <w:p w14:paraId="4871EB38" w14:textId="55599BAF" w:rsidR="00D9192D" w:rsidRDefault="00D9192D" w:rsidP="00246847">
      <w:pPr>
        <w:tabs>
          <w:tab w:val="left" w:pos="0"/>
          <w:tab w:val="left" w:pos="1512"/>
        </w:tabs>
        <w:spacing w:after="0" w:line="287" w:lineRule="exact"/>
        <w:ind w:left="780" w:right="72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14:paraId="173246FA" w14:textId="77777777" w:rsidR="00377804" w:rsidRPr="00836D6C" w:rsidRDefault="00377804" w:rsidP="00377804">
      <w:pPr>
        <w:tabs>
          <w:tab w:val="left" w:pos="0"/>
          <w:tab w:val="left" w:pos="1512"/>
        </w:tabs>
        <w:spacing w:after="0" w:line="287" w:lineRule="exact"/>
        <w:ind w:right="72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3D61B9DF" w14:textId="78A7A340" w:rsidR="00CB456C" w:rsidRPr="00836D6C" w:rsidRDefault="00CB456C" w:rsidP="00377804">
      <w:pPr>
        <w:tabs>
          <w:tab w:val="left" w:pos="0"/>
          <w:tab w:val="left" w:pos="1512"/>
        </w:tabs>
        <w:spacing w:after="0" w:line="287" w:lineRule="exact"/>
        <w:ind w:right="72"/>
        <w:textAlignment w:val="baseline"/>
        <w:rPr>
          <w:rFonts w:ascii="Times New Roman" w:eastAsia="Times New Roman" w:hAnsi="Times New Roman" w:cs="Times New Roman"/>
          <w:sz w:val="24"/>
        </w:rPr>
      </w:pPr>
      <w:r w:rsidRPr="00E55DA0">
        <w:rPr>
          <w:rFonts w:ascii="Times New Roman" w:eastAsia="Times New Roman" w:hAnsi="Times New Roman" w:cs="Times New Roman"/>
          <w:b/>
          <w:color w:val="000000"/>
          <w:spacing w:val="-1"/>
          <w:sz w:val="25"/>
          <w:highlight w:val="yellow"/>
        </w:rPr>
        <w:t xml:space="preserve">NOTE: </w:t>
      </w:r>
      <w:r w:rsidR="00ED19CE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Per </w:t>
      </w:r>
      <w:r w:rsidR="005438D2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Vermont Forward Universal Precautions and </w:t>
      </w:r>
      <w:r w:rsidR="00E55DA0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>Governors Scotts executive order</w:t>
      </w:r>
      <w:r w:rsidR="005438D2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>,</w:t>
      </w:r>
      <w:r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 facial coverings </w:t>
      </w:r>
      <w:r w:rsidR="00ED19CE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>are</w:t>
      </w:r>
      <w:r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 </w:t>
      </w:r>
      <w:r w:rsidR="00E55DA0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NOT </w:t>
      </w:r>
      <w:r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>mandatory PPE</w:t>
      </w:r>
      <w:r w:rsidR="00E55DA0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 for vaccinated workers</w:t>
      </w:r>
      <w:r w:rsidR="005438D2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>,</w:t>
      </w:r>
      <w:r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 xml:space="preserve"> when working within 6’ of other workers. </w:t>
      </w:r>
      <w:r w:rsidR="00D9192D" w:rsidRPr="00E55DA0">
        <w:rPr>
          <w:rFonts w:ascii="Times New Roman" w:eastAsia="Times New Roman" w:hAnsi="Times New Roman" w:cs="Times New Roman"/>
          <w:spacing w:val="-1"/>
          <w:sz w:val="25"/>
          <w:highlight w:val="yellow"/>
        </w:rPr>
        <w:t>Employers should be aware of any local ordinances that still require masks.</w:t>
      </w:r>
    </w:p>
    <w:p w14:paraId="200B2770" w14:textId="77777777" w:rsidR="00DA474F" w:rsidRDefault="00DA474F" w:rsidP="002F171A">
      <w:pPr>
        <w:tabs>
          <w:tab w:val="left" w:pos="720"/>
        </w:tabs>
        <w:spacing w:after="0" w:line="279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</w:p>
    <w:p w14:paraId="48CAC25B" w14:textId="6F620FF5" w:rsidR="00914786" w:rsidRPr="002F171A" w:rsidRDefault="002F171A" w:rsidP="002F171A">
      <w:pPr>
        <w:tabs>
          <w:tab w:val="left" w:pos="720"/>
        </w:tabs>
        <w:spacing w:after="0" w:line="279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2F171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Changes to Page 8</w:t>
      </w:r>
    </w:p>
    <w:p w14:paraId="258EE7EA" w14:textId="77777777" w:rsidR="00914786" w:rsidRPr="00836D6C" w:rsidRDefault="00914786" w:rsidP="00377804">
      <w:pPr>
        <w:tabs>
          <w:tab w:val="left" w:pos="720"/>
        </w:tabs>
        <w:spacing w:after="0" w:line="279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6D2E4427" w14:textId="559B3EEE" w:rsidR="008E786A" w:rsidRPr="00E55DA0" w:rsidRDefault="008E786A" w:rsidP="008E786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  <w:r w:rsidRPr="00836D6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3. </w:t>
      </w:r>
      <w:r w:rsidR="00D9192D" w:rsidRPr="00E55DA0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  <w:t>Unvaccinated Workers</w:t>
      </w:r>
      <w:r w:rsidRPr="00E55DA0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  <w:t xml:space="preserve"> </w:t>
      </w:r>
    </w:p>
    <w:p w14:paraId="563DFBB7" w14:textId="6207A4E1" w:rsidR="008E786A" w:rsidRPr="00E55DA0" w:rsidRDefault="008E786A" w:rsidP="00E62C09">
      <w:pPr>
        <w:pStyle w:val="ListParagraph"/>
        <w:numPr>
          <w:ilvl w:val="0"/>
          <w:numId w:val="28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Limit social gatherings of people. </w:t>
      </w:r>
    </w:p>
    <w:p w14:paraId="54C64CA6" w14:textId="1138F075" w:rsidR="008E786A" w:rsidRPr="00E55DA0" w:rsidRDefault="008E786A" w:rsidP="00A656A5">
      <w:pPr>
        <w:pStyle w:val="ListParagraph"/>
        <w:numPr>
          <w:ilvl w:val="0"/>
          <w:numId w:val="30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Limit worker and work crew interaction across floors, zones, </w:t>
      </w:r>
      <w:r w:rsidR="00814523"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>buildings,</w:t>
      </w: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worksites to the extent possible. </w:t>
      </w:r>
    </w:p>
    <w:p w14:paraId="5677679A" w14:textId="2DC8F65D" w:rsidR="008E786A" w:rsidRPr="00E55DA0" w:rsidRDefault="008E786A" w:rsidP="00E62C09">
      <w:pPr>
        <w:pStyle w:val="ListParagraph"/>
        <w:numPr>
          <w:ilvl w:val="0"/>
          <w:numId w:val="30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Evaluate locations and activities to implement social distancing of at least 6 feet. </w:t>
      </w:r>
    </w:p>
    <w:p w14:paraId="1A315097" w14:textId="6E78DEE3" w:rsidR="008E786A" w:rsidRPr="00E55DA0" w:rsidRDefault="008E786A" w:rsidP="00E62C09">
      <w:pPr>
        <w:pStyle w:val="ListParagraph"/>
        <w:numPr>
          <w:ilvl w:val="0"/>
          <w:numId w:val="30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Identify and evaluate locations and activities where social distancing of at least 6-feet between workers may be difficult to implement and determine how the location can be re-configured or activities performed in alternate ways that will either minimize the social gathering of people or allow for social distancing of at least 6 feet. </w:t>
      </w:r>
    </w:p>
    <w:p w14:paraId="774CD44B" w14:textId="6C5FEF81" w:rsidR="008E786A" w:rsidRPr="00E55DA0" w:rsidRDefault="008E786A" w:rsidP="00544605">
      <w:pPr>
        <w:pStyle w:val="ListParagraph"/>
        <w:numPr>
          <w:ilvl w:val="0"/>
          <w:numId w:val="30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Implement and maintain social distancing in congestion areas, </w:t>
      </w:r>
      <w:r w:rsidR="00814523"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>bottlenecks,</w:t>
      </w: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choke points, including by providing queuing (e.g., signage, markings, barriers, paint, tape, flags) to maintain 6 feet of social distancing. </w:t>
      </w:r>
    </w:p>
    <w:p w14:paraId="130114A5" w14:textId="29044834" w:rsidR="008E786A" w:rsidRPr="00E55DA0" w:rsidRDefault="008E786A" w:rsidP="00846EE2">
      <w:pPr>
        <w:pStyle w:val="ListParagraph"/>
        <w:numPr>
          <w:ilvl w:val="0"/>
          <w:numId w:val="30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Maintain social distancing in all work areas, staging areas, storage areas, hoist areas, break areas, locker and changing areas, meeting areas, office trailers, parking areas, etc. </w:t>
      </w:r>
    </w:p>
    <w:p w14:paraId="36C677C5" w14:textId="3AACB3A5" w:rsidR="008E786A" w:rsidRPr="00E55DA0" w:rsidRDefault="008E786A" w:rsidP="00E62C09">
      <w:pPr>
        <w:pStyle w:val="ListParagraph"/>
        <w:numPr>
          <w:ilvl w:val="0"/>
          <w:numId w:val="30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Implement and maintain 6 feet of social distancing in specific situations. </w:t>
      </w:r>
    </w:p>
    <w:p w14:paraId="6914C6FB" w14:textId="7C235A56" w:rsidR="008E786A" w:rsidRPr="00E55DA0" w:rsidRDefault="008E786A" w:rsidP="00CB24EF">
      <w:pPr>
        <w:pStyle w:val="ListParagraph"/>
        <w:numPr>
          <w:ilvl w:val="0"/>
          <w:numId w:val="31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Eliminate activities and configurations that require workers to face each other, to the extent possible. </w:t>
      </w:r>
    </w:p>
    <w:p w14:paraId="09FBC9C3" w14:textId="636673C6" w:rsidR="008E786A" w:rsidRPr="00E55DA0" w:rsidRDefault="008E786A" w:rsidP="00086288">
      <w:pPr>
        <w:pStyle w:val="ListParagraph"/>
        <w:numPr>
          <w:ilvl w:val="0"/>
          <w:numId w:val="31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Designate separate facilities, </w:t>
      </w:r>
      <w:r w:rsidR="00814523"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>machinery,</w:t>
      </w: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equipment throughout the worksite to minimize the common use throughout the worksite. </w:t>
      </w:r>
    </w:p>
    <w:p w14:paraId="7FBAAF75" w14:textId="77777777" w:rsidR="008E786A" w:rsidRPr="00836D6C" w:rsidRDefault="008E786A" w:rsidP="008E786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1BD3" w14:textId="77777777" w:rsidR="008E786A" w:rsidRPr="00E55DA0" w:rsidRDefault="008E786A" w:rsidP="008E786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  <w:r w:rsidRPr="00836D6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6. </w:t>
      </w:r>
      <w:r w:rsidRPr="00E55DA0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  <w:t xml:space="preserve">Use of face coverings </w:t>
      </w:r>
    </w:p>
    <w:p w14:paraId="39C93D96" w14:textId="5040915E" w:rsidR="006B6616" w:rsidRPr="00E55DA0" w:rsidRDefault="008E786A" w:rsidP="00814523">
      <w:pPr>
        <w:pStyle w:val="ListParagraph"/>
        <w:numPr>
          <w:ilvl w:val="0"/>
          <w:numId w:val="34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Require </w:t>
      </w:r>
      <w:r w:rsidR="00D9192D"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unvaccinated </w:t>
      </w:r>
      <w:r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workers to </w:t>
      </w:r>
      <w:r w:rsidR="00814523"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>always wear face coverings indoors and outdoors</w:t>
      </w:r>
      <w:r w:rsidR="006B6616" w:rsidRPr="00E55D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when social distancing of 6 feet cannot be maintained. </w:t>
      </w:r>
    </w:p>
    <w:p w14:paraId="2ABC4DCD" w14:textId="3220D40B" w:rsidR="008E786A" w:rsidRDefault="008E786A" w:rsidP="00814523">
      <w:pPr>
        <w:pStyle w:val="ListParagraph"/>
        <w:numPr>
          <w:ilvl w:val="0"/>
          <w:numId w:val="34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6C">
        <w:rPr>
          <w:rFonts w:ascii="Times New Roman" w:eastAsia="Times New Roman" w:hAnsi="Times New Roman" w:cs="Times New Roman"/>
          <w:sz w:val="24"/>
          <w:szCs w:val="24"/>
        </w:rPr>
        <w:t xml:space="preserve">Establish procedures for overseeing workers’ compliance with face covering requirements. </w:t>
      </w:r>
    </w:p>
    <w:p w14:paraId="30736903" w14:textId="5980DC75" w:rsidR="00274A62" w:rsidRPr="00836D6C" w:rsidRDefault="00274A62" w:rsidP="00274A62">
      <w:pPr>
        <w:pStyle w:val="ListParagraph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34EAB" w14:textId="77777777" w:rsidR="00274A62" w:rsidRPr="00274A62" w:rsidRDefault="00274A62" w:rsidP="00274A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74A6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8.  TRAVEL</w:t>
      </w:r>
    </w:p>
    <w:p w14:paraId="34DDE863" w14:textId="77777777" w:rsidR="00274A62" w:rsidRPr="00274A62" w:rsidRDefault="00274A62" w:rsidP="00274A62">
      <w:pPr>
        <w:pStyle w:val="ListParagraph"/>
        <w:numPr>
          <w:ilvl w:val="0"/>
          <w:numId w:val="34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A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Travel Restrictions and Quarantine Requirements Lifted by Executive Order 5/14/2021</w:t>
      </w:r>
    </w:p>
    <w:p w14:paraId="044B0858" w14:textId="77777777" w:rsidR="008E786A" w:rsidRPr="00836D6C" w:rsidRDefault="008E786A" w:rsidP="008E786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78DA6" w14:textId="2054AD30" w:rsidR="005514B6" w:rsidRDefault="005514B6" w:rsidP="002F171A">
      <w:pPr>
        <w:pStyle w:val="ListParagraph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514B6" w:rsidSect="00E81CA0">
      <w:footerReference w:type="default" r:id="rId8"/>
      <w:footerReference w:type="first" r:id="rId9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8922" w14:textId="77777777" w:rsidR="00EB4792" w:rsidRDefault="00EB4792" w:rsidP="00FC2AA6">
      <w:pPr>
        <w:spacing w:after="0" w:line="240" w:lineRule="auto"/>
      </w:pPr>
      <w:r>
        <w:separator/>
      </w:r>
    </w:p>
  </w:endnote>
  <w:endnote w:type="continuationSeparator" w:id="0">
    <w:p w14:paraId="6244F328" w14:textId="77777777" w:rsidR="00EB4792" w:rsidRDefault="00EB4792" w:rsidP="00FC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53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B61A9" w14:textId="7A11D93A" w:rsidR="00E81CA0" w:rsidRDefault="00E81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E3A73" w14:textId="645EDAEF" w:rsidR="00037155" w:rsidRPr="00E81CA0" w:rsidRDefault="002F171A" w:rsidP="00E81CA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17</w:t>
    </w:r>
    <w:r w:rsidR="00EA5417">
      <w:rPr>
        <w:rFonts w:ascii="Arial" w:hAnsi="Arial" w:cs="Arial"/>
        <w:sz w:val="20"/>
      </w:rPr>
      <w:t>, 2021</w:t>
    </w:r>
    <w:r w:rsidR="00BE67B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AGC/VT </w:t>
    </w:r>
    <w:r w:rsidR="009A639D">
      <w:rPr>
        <w:rFonts w:ascii="Arial" w:hAnsi="Arial" w:cs="Arial"/>
        <w:sz w:val="20"/>
      </w:rPr>
      <w:t xml:space="preserve">Vermont Forward </w:t>
    </w:r>
    <w:r w:rsidR="00CE70B8">
      <w:rPr>
        <w:rFonts w:ascii="Arial" w:hAnsi="Arial" w:cs="Arial"/>
        <w:sz w:val="20"/>
      </w:rPr>
      <w:t>/</w:t>
    </w:r>
    <w:r w:rsidR="00BE67B1">
      <w:rPr>
        <w:rFonts w:ascii="Arial" w:hAnsi="Arial" w:cs="Arial"/>
        <w:sz w:val="20"/>
      </w:rPr>
      <w:t xml:space="preserve"> Safety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87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A5A50" w14:textId="54ED4253" w:rsidR="00E81CA0" w:rsidRDefault="00E81C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96461" w14:textId="162FE113" w:rsidR="00E81CA0" w:rsidRDefault="00E81CA0" w:rsidP="00E81CA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58C" w14:textId="77777777" w:rsidR="00EB4792" w:rsidRDefault="00EB4792" w:rsidP="00FC2AA6">
      <w:pPr>
        <w:spacing w:after="0" w:line="240" w:lineRule="auto"/>
      </w:pPr>
      <w:r>
        <w:separator/>
      </w:r>
    </w:p>
  </w:footnote>
  <w:footnote w:type="continuationSeparator" w:id="0">
    <w:p w14:paraId="1F9C3E0E" w14:textId="77777777" w:rsidR="00EB4792" w:rsidRDefault="00EB4792" w:rsidP="00FC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526"/>
    <w:multiLevelType w:val="hybridMultilevel"/>
    <w:tmpl w:val="9F4A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898"/>
    <w:multiLevelType w:val="hybridMultilevel"/>
    <w:tmpl w:val="6F4C45B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3BB"/>
    <w:multiLevelType w:val="hybridMultilevel"/>
    <w:tmpl w:val="A4201254"/>
    <w:lvl w:ilvl="0" w:tplc="650CDAE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color w:val="010101"/>
        <w:spacing w:val="-2"/>
        <w:w w:val="91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B2BFE"/>
    <w:multiLevelType w:val="hybridMultilevel"/>
    <w:tmpl w:val="BB82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5E6F"/>
    <w:multiLevelType w:val="multilevel"/>
    <w:tmpl w:val="20C697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16BEE"/>
    <w:multiLevelType w:val="multilevel"/>
    <w:tmpl w:val="C30AD8F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AD4097"/>
    <w:multiLevelType w:val="hybridMultilevel"/>
    <w:tmpl w:val="1FF2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FC1"/>
    <w:multiLevelType w:val="hybridMultilevel"/>
    <w:tmpl w:val="FDF0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D1360"/>
    <w:multiLevelType w:val="hybridMultilevel"/>
    <w:tmpl w:val="A4201254"/>
    <w:lvl w:ilvl="0" w:tplc="650CDAE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color w:val="010101"/>
        <w:spacing w:val="-2"/>
        <w:w w:val="91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C1993"/>
    <w:multiLevelType w:val="hybridMultilevel"/>
    <w:tmpl w:val="A616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6B4"/>
    <w:multiLevelType w:val="multilevel"/>
    <w:tmpl w:val="F704E7C4"/>
    <w:lvl w:ilvl="0">
      <w:start w:val="1"/>
      <w:numFmt w:val="decimal"/>
      <w:lvlText w:val="%1."/>
      <w:lvlJc w:val="left"/>
      <w:pPr>
        <w:tabs>
          <w:tab w:val="left" w:pos="0"/>
        </w:tabs>
        <w:ind w:left="360"/>
      </w:pPr>
      <w:rPr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667BD"/>
    <w:multiLevelType w:val="hybridMultilevel"/>
    <w:tmpl w:val="FAFE67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A1F12A7"/>
    <w:multiLevelType w:val="hybridMultilevel"/>
    <w:tmpl w:val="8B44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1053"/>
    <w:multiLevelType w:val="hybridMultilevel"/>
    <w:tmpl w:val="33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7158"/>
    <w:multiLevelType w:val="hybridMultilevel"/>
    <w:tmpl w:val="B282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31B5"/>
    <w:multiLevelType w:val="hybridMultilevel"/>
    <w:tmpl w:val="3F923A8A"/>
    <w:lvl w:ilvl="0" w:tplc="4BB4865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sz w:val="28"/>
        <w:szCs w:val="28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23C28"/>
    <w:multiLevelType w:val="hybridMultilevel"/>
    <w:tmpl w:val="283257A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4A6DA6"/>
    <w:multiLevelType w:val="hybridMultilevel"/>
    <w:tmpl w:val="A4201254"/>
    <w:lvl w:ilvl="0" w:tplc="650CDAE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color w:val="010101"/>
        <w:spacing w:val="-2"/>
        <w:w w:val="91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7117F"/>
    <w:multiLevelType w:val="multilevel"/>
    <w:tmpl w:val="F704E7C4"/>
    <w:lvl w:ilvl="0">
      <w:start w:val="1"/>
      <w:numFmt w:val="decimal"/>
      <w:lvlText w:val="%1."/>
      <w:lvlJc w:val="left"/>
      <w:pPr>
        <w:tabs>
          <w:tab w:val="left" w:pos="0"/>
        </w:tabs>
        <w:ind w:left="360"/>
      </w:pPr>
      <w:rPr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C040AA"/>
    <w:multiLevelType w:val="hybridMultilevel"/>
    <w:tmpl w:val="D412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64EC5"/>
    <w:multiLevelType w:val="hybridMultilevel"/>
    <w:tmpl w:val="61E0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E561F"/>
    <w:multiLevelType w:val="hybridMultilevel"/>
    <w:tmpl w:val="5E56651C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4B176D"/>
    <w:multiLevelType w:val="hybridMultilevel"/>
    <w:tmpl w:val="14A8EA24"/>
    <w:lvl w:ilvl="0" w:tplc="FFFFFFFF">
      <w:start w:val="7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FFFFFFFF">
      <w:start w:val="4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2315B4C"/>
    <w:multiLevelType w:val="hybridMultilevel"/>
    <w:tmpl w:val="85C454B2"/>
    <w:lvl w:ilvl="0" w:tplc="57F00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7247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804B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01F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081C9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A08AB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5AE5A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C638E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0CE3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790AC3"/>
    <w:multiLevelType w:val="hybridMultilevel"/>
    <w:tmpl w:val="B49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72BC"/>
    <w:multiLevelType w:val="hybridMultilevel"/>
    <w:tmpl w:val="00DC59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4A6CB4"/>
    <w:multiLevelType w:val="hybridMultilevel"/>
    <w:tmpl w:val="B0CC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B114B"/>
    <w:multiLevelType w:val="hybridMultilevel"/>
    <w:tmpl w:val="2D28B20A"/>
    <w:lvl w:ilvl="0" w:tplc="650CDAE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color w:val="010101"/>
        <w:spacing w:val="-2"/>
        <w:w w:val="91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23FF"/>
    <w:multiLevelType w:val="hybridMultilevel"/>
    <w:tmpl w:val="266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F54F1"/>
    <w:multiLevelType w:val="multilevel"/>
    <w:tmpl w:val="DB12BFE6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4A7B25"/>
    <w:multiLevelType w:val="hybridMultilevel"/>
    <w:tmpl w:val="52B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0F65"/>
    <w:multiLevelType w:val="multilevel"/>
    <w:tmpl w:val="6BA054B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E209C5"/>
    <w:multiLevelType w:val="multilevel"/>
    <w:tmpl w:val="19F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039E4"/>
    <w:multiLevelType w:val="hybridMultilevel"/>
    <w:tmpl w:val="C2E434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95C4E"/>
    <w:multiLevelType w:val="multilevel"/>
    <w:tmpl w:val="EE0E380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015DBD"/>
    <w:multiLevelType w:val="hybridMultilevel"/>
    <w:tmpl w:val="E20E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3A06"/>
    <w:multiLevelType w:val="hybridMultilevel"/>
    <w:tmpl w:val="00DC59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35036E"/>
    <w:multiLevelType w:val="hybridMultilevel"/>
    <w:tmpl w:val="AE2C5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6"/>
  </w:num>
  <w:num w:numId="4">
    <w:abstractNumId w:val="22"/>
  </w:num>
  <w:num w:numId="5">
    <w:abstractNumId w:val="37"/>
  </w:num>
  <w:num w:numId="6">
    <w:abstractNumId w:val="23"/>
  </w:num>
  <w:num w:numId="7">
    <w:abstractNumId w:val="17"/>
  </w:num>
  <w:num w:numId="8">
    <w:abstractNumId w:val="25"/>
  </w:num>
  <w:num w:numId="9">
    <w:abstractNumId w:val="33"/>
  </w:num>
  <w:num w:numId="10">
    <w:abstractNumId w:val="16"/>
  </w:num>
  <w:num w:numId="11">
    <w:abstractNumId w:val="21"/>
  </w:num>
  <w:num w:numId="12">
    <w:abstractNumId w:val="2"/>
  </w:num>
  <w:num w:numId="13">
    <w:abstractNumId w:val="27"/>
  </w:num>
  <w:num w:numId="14">
    <w:abstractNumId w:val="8"/>
  </w:num>
  <w:num w:numId="15">
    <w:abstractNumId w:val="18"/>
  </w:num>
  <w:num w:numId="16">
    <w:abstractNumId w:val="31"/>
  </w:num>
  <w:num w:numId="17">
    <w:abstractNumId w:val="29"/>
  </w:num>
  <w:num w:numId="18">
    <w:abstractNumId w:val="5"/>
  </w:num>
  <w:num w:numId="19">
    <w:abstractNumId w:val="4"/>
  </w:num>
  <w:num w:numId="20">
    <w:abstractNumId w:val="34"/>
  </w:num>
  <w:num w:numId="21">
    <w:abstractNumId w:val="35"/>
  </w:num>
  <w:num w:numId="22">
    <w:abstractNumId w:val="12"/>
  </w:num>
  <w:num w:numId="23">
    <w:abstractNumId w:val="10"/>
  </w:num>
  <w:num w:numId="24">
    <w:abstractNumId w:val="9"/>
  </w:num>
  <w:num w:numId="25">
    <w:abstractNumId w:val="11"/>
  </w:num>
  <w:num w:numId="26">
    <w:abstractNumId w:val="6"/>
  </w:num>
  <w:num w:numId="27">
    <w:abstractNumId w:val="13"/>
  </w:num>
  <w:num w:numId="28">
    <w:abstractNumId w:val="24"/>
  </w:num>
  <w:num w:numId="29">
    <w:abstractNumId w:val="20"/>
  </w:num>
  <w:num w:numId="30">
    <w:abstractNumId w:val="14"/>
  </w:num>
  <w:num w:numId="31">
    <w:abstractNumId w:val="3"/>
  </w:num>
  <w:num w:numId="32">
    <w:abstractNumId w:val="0"/>
  </w:num>
  <w:num w:numId="33">
    <w:abstractNumId w:val="26"/>
  </w:num>
  <w:num w:numId="34">
    <w:abstractNumId w:val="30"/>
  </w:num>
  <w:num w:numId="35">
    <w:abstractNumId w:val="19"/>
  </w:num>
  <w:num w:numId="36">
    <w:abstractNumId w:val="28"/>
  </w:num>
  <w:num w:numId="37">
    <w:abstractNumId w:val="7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TEyMzIxsDC1MDVQ0lEKTi0uzszPAykwtKwFAI9ILLUtAAAA"/>
  </w:docVars>
  <w:rsids>
    <w:rsidRoot w:val="00FC2AA6"/>
    <w:rsid w:val="00015E3E"/>
    <w:rsid w:val="00037155"/>
    <w:rsid w:val="00040E3B"/>
    <w:rsid w:val="00071E78"/>
    <w:rsid w:val="0008124E"/>
    <w:rsid w:val="0008344C"/>
    <w:rsid w:val="00086288"/>
    <w:rsid w:val="00097268"/>
    <w:rsid w:val="000A0246"/>
    <w:rsid w:val="000A5DCC"/>
    <w:rsid w:val="000A6313"/>
    <w:rsid w:val="000B26B5"/>
    <w:rsid w:val="000D5661"/>
    <w:rsid w:val="000F5E0F"/>
    <w:rsid w:val="001154F4"/>
    <w:rsid w:val="00116C05"/>
    <w:rsid w:val="00141DB6"/>
    <w:rsid w:val="0015274F"/>
    <w:rsid w:val="0015384D"/>
    <w:rsid w:val="001612EA"/>
    <w:rsid w:val="001635E8"/>
    <w:rsid w:val="00175490"/>
    <w:rsid w:val="001839B1"/>
    <w:rsid w:val="0018697C"/>
    <w:rsid w:val="0019517C"/>
    <w:rsid w:val="001B3043"/>
    <w:rsid w:val="001C1053"/>
    <w:rsid w:val="001C298D"/>
    <w:rsid w:val="001C3187"/>
    <w:rsid w:val="001C7E7E"/>
    <w:rsid w:val="001D1E90"/>
    <w:rsid w:val="001D4559"/>
    <w:rsid w:val="001F2F82"/>
    <w:rsid w:val="0020720B"/>
    <w:rsid w:val="00223B70"/>
    <w:rsid w:val="00223C2B"/>
    <w:rsid w:val="00246847"/>
    <w:rsid w:val="00247C66"/>
    <w:rsid w:val="00253B89"/>
    <w:rsid w:val="00257C15"/>
    <w:rsid w:val="0026242A"/>
    <w:rsid w:val="00274A62"/>
    <w:rsid w:val="00277C19"/>
    <w:rsid w:val="00285D4A"/>
    <w:rsid w:val="00297D2F"/>
    <w:rsid w:val="002A19C9"/>
    <w:rsid w:val="002B1624"/>
    <w:rsid w:val="002B52E8"/>
    <w:rsid w:val="002C3331"/>
    <w:rsid w:val="002D2790"/>
    <w:rsid w:val="002E207A"/>
    <w:rsid w:val="002F171A"/>
    <w:rsid w:val="00302A63"/>
    <w:rsid w:val="00304F8A"/>
    <w:rsid w:val="00313D80"/>
    <w:rsid w:val="00317914"/>
    <w:rsid w:val="00321868"/>
    <w:rsid w:val="0032274B"/>
    <w:rsid w:val="00323152"/>
    <w:rsid w:val="003377E8"/>
    <w:rsid w:val="00361BC9"/>
    <w:rsid w:val="00363136"/>
    <w:rsid w:val="0036789D"/>
    <w:rsid w:val="00370B91"/>
    <w:rsid w:val="003721C1"/>
    <w:rsid w:val="00373A25"/>
    <w:rsid w:val="00377804"/>
    <w:rsid w:val="0039423E"/>
    <w:rsid w:val="00394370"/>
    <w:rsid w:val="003D4986"/>
    <w:rsid w:val="003E3A0E"/>
    <w:rsid w:val="003E424C"/>
    <w:rsid w:val="003E5844"/>
    <w:rsid w:val="00407112"/>
    <w:rsid w:val="00411A70"/>
    <w:rsid w:val="004202A5"/>
    <w:rsid w:val="004463A3"/>
    <w:rsid w:val="00453918"/>
    <w:rsid w:val="00463DE2"/>
    <w:rsid w:val="00477D90"/>
    <w:rsid w:val="00480474"/>
    <w:rsid w:val="00484549"/>
    <w:rsid w:val="00493467"/>
    <w:rsid w:val="004B18DF"/>
    <w:rsid w:val="004D170C"/>
    <w:rsid w:val="004D27B9"/>
    <w:rsid w:val="004D5AC3"/>
    <w:rsid w:val="004D617E"/>
    <w:rsid w:val="004E5838"/>
    <w:rsid w:val="0051299A"/>
    <w:rsid w:val="005438D2"/>
    <w:rsid w:val="005514B6"/>
    <w:rsid w:val="00552D3B"/>
    <w:rsid w:val="00561677"/>
    <w:rsid w:val="0059450F"/>
    <w:rsid w:val="005B12FA"/>
    <w:rsid w:val="005C1E38"/>
    <w:rsid w:val="005C22DD"/>
    <w:rsid w:val="005E6542"/>
    <w:rsid w:val="006001DB"/>
    <w:rsid w:val="006158F8"/>
    <w:rsid w:val="00616D16"/>
    <w:rsid w:val="00644A26"/>
    <w:rsid w:val="006478E7"/>
    <w:rsid w:val="00651CE7"/>
    <w:rsid w:val="00652EEE"/>
    <w:rsid w:val="006617C5"/>
    <w:rsid w:val="0068059B"/>
    <w:rsid w:val="006941B3"/>
    <w:rsid w:val="00696DE3"/>
    <w:rsid w:val="006A0E10"/>
    <w:rsid w:val="006A3923"/>
    <w:rsid w:val="006B6616"/>
    <w:rsid w:val="006C4AD5"/>
    <w:rsid w:val="006D6DC7"/>
    <w:rsid w:val="006D73A8"/>
    <w:rsid w:val="006F1E51"/>
    <w:rsid w:val="006F6F60"/>
    <w:rsid w:val="00706131"/>
    <w:rsid w:val="00706911"/>
    <w:rsid w:val="00711E1D"/>
    <w:rsid w:val="00724848"/>
    <w:rsid w:val="0073544B"/>
    <w:rsid w:val="00741E21"/>
    <w:rsid w:val="00751FB2"/>
    <w:rsid w:val="00752455"/>
    <w:rsid w:val="00777E2D"/>
    <w:rsid w:val="007B40A4"/>
    <w:rsid w:val="007D4766"/>
    <w:rsid w:val="007D68D6"/>
    <w:rsid w:val="007E0287"/>
    <w:rsid w:val="007F064B"/>
    <w:rsid w:val="007F1096"/>
    <w:rsid w:val="007F2847"/>
    <w:rsid w:val="007F7411"/>
    <w:rsid w:val="00806F6C"/>
    <w:rsid w:val="00807E1C"/>
    <w:rsid w:val="00814523"/>
    <w:rsid w:val="0082533E"/>
    <w:rsid w:val="00825D6D"/>
    <w:rsid w:val="00827CBE"/>
    <w:rsid w:val="0083522A"/>
    <w:rsid w:val="00836D6C"/>
    <w:rsid w:val="0084023F"/>
    <w:rsid w:val="00850A9E"/>
    <w:rsid w:val="0087545E"/>
    <w:rsid w:val="008A2616"/>
    <w:rsid w:val="008B5C3A"/>
    <w:rsid w:val="008C151D"/>
    <w:rsid w:val="008C7ED4"/>
    <w:rsid w:val="008D342C"/>
    <w:rsid w:val="008D769B"/>
    <w:rsid w:val="008E786A"/>
    <w:rsid w:val="008F1C4E"/>
    <w:rsid w:val="00900539"/>
    <w:rsid w:val="00914786"/>
    <w:rsid w:val="00925125"/>
    <w:rsid w:val="00945FFB"/>
    <w:rsid w:val="009477A0"/>
    <w:rsid w:val="00951851"/>
    <w:rsid w:val="00962D9C"/>
    <w:rsid w:val="009642E5"/>
    <w:rsid w:val="009850EE"/>
    <w:rsid w:val="00987003"/>
    <w:rsid w:val="009A5046"/>
    <w:rsid w:val="009A639D"/>
    <w:rsid w:val="009B0E18"/>
    <w:rsid w:val="009D4E81"/>
    <w:rsid w:val="00A00FD0"/>
    <w:rsid w:val="00A14775"/>
    <w:rsid w:val="00A22FCE"/>
    <w:rsid w:val="00A32B72"/>
    <w:rsid w:val="00A47982"/>
    <w:rsid w:val="00A80C20"/>
    <w:rsid w:val="00A842C5"/>
    <w:rsid w:val="00A86556"/>
    <w:rsid w:val="00A97A3A"/>
    <w:rsid w:val="00AA0011"/>
    <w:rsid w:val="00AA1E64"/>
    <w:rsid w:val="00AB1CA9"/>
    <w:rsid w:val="00AC6E84"/>
    <w:rsid w:val="00AC6FF1"/>
    <w:rsid w:val="00AE3D7E"/>
    <w:rsid w:val="00AF0BEA"/>
    <w:rsid w:val="00AF21C1"/>
    <w:rsid w:val="00AF421C"/>
    <w:rsid w:val="00AF573C"/>
    <w:rsid w:val="00B01243"/>
    <w:rsid w:val="00B04B54"/>
    <w:rsid w:val="00B0565E"/>
    <w:rsid w:val="00B117E4"/>
    <w:rsid w:val="00B16AAD"/>
    <w:rsid w:val="00B31125"/>
    <w:rsid w:val="00B32619"/>
    <w:rsid w:val="00B41F0B"/>
    <w:rsid w:val="00B42CFE"/>
    <w:rsid w:val="00B45004"/>
    <w:rsid w:val="00B5137B"/>
    <w:rsid w:val="00B5745C"/>
    <w:rsid w:val="00B57F66"/>
    <w:rsid w:val="00B61633"/>
    <w:rsid w:val="00B67ED7"/>
    <w:rsid w:val="00B73B61"/>
    <w:rsid w:val="00B92A11"/>
    <w:rsid w:val="00B92FD1"/>
    <w:rsid w:val="00BA5BD8"/>
    <w:rsid w:val="00BA6685"/>
    <w:rsid w:val="00BB0FAD"/>
    <w:rsid w:val="00BB1A15"/>
    <w:rsid w:val="00BB5C68"/>
    <w:rsid w:val="00BD7EA2"/>
    <w:rsid w:val="00BE37B5"/>
    <w:rsid w:val="00BE67B1"/>
    <w:rsid w:val="00C133C1"/>
    <w:rsid w:val="00C13AA5"/>
    <w:rsid w:val="00C16C28"/>
    <w:rsid w:val="00C20E06"/>
    <w:rsid w:val="00C25DB0"/>
    <w:rsid w:val="00C43AB6"/>
    <w:rsid w:val="00C4741D"/>
    <w:rsid w:val="00C537DB"/>
    <w:rsid w:val="00C6220D"/>
    <w:rsid w:val="00C73EDD"/>
    <w:rsid w:val="00CA0C4E"/>
    <w:rsid w:val="00CA51E4"/>
    <w:rsid w:val="00CB06C6"/>
    <w:rsid w:val="00CB44A2"/>
    <w:rsid w:val="00CB456C"/>
    <w:rsid w:val="00CD15C7"/>
    <w:rsid w:val="00CE70B8"/>
    <w:rsid w:val="00D024F3"/>
    <w:rsid w:val="00D151E2"/>
    <w:rsid w:val="00D25FB7"/>
    <w:rsid w:val="00D34190"/>
    <w:rsid w:val="00D37828"/>
    <w:rsid w:val="00D414D2"/>
    <w:rsid w:val="00D420F6"/>
    <w:rsid w:val="00D57B5D"/>
    <w:rsid w:val="00D6049D"/>
    <w:rsid w:val="00D73697"/>
    <w:rsid w:val="00D75DAA"/>
    <w:rsid w:val="00D770E0"/>
    <w:rsid w:val="00D81400"/>
    <w:rsid w:val="00D9192D"/>
    <w:rsid w:val="00DA474F"/>
    <w:rsid w:val="00DB1906"/>
    <w:rsid w:val="00DB3237"/>
    <w:rsid w:val="00DC2A27"/>
    <w:rsid w:val="00DD774A"/>
    <w:rsid w:val="00DE1231"/>
    <w:rsid w:val="00DE6E4E"/>
    <w:rsid w:val="00DF0520"/>
    <w:rsid w:val="00DF3EB3"/>
    <w:rsid w:val="00DF4F2B"/>
    <w:rsid w:val="00E130AA"/>
    <w:rsid w:val="00E22798"/>
    <w:rsid w:val="00E24BF6"/>
    <w:rsid w:val="00E26D35"/>
    <w:rsid w:val="00E3466A"/>
    <w:rsid w:val="00E411F5"/>
    <w:rsid w:val="00E414EC"/>
    <w:rsid w:val="00E50265"/>
    <w:rsid w:val="00E55DA0"/>
    <w:rsid w:val="00E62C09"/>
    <w:rsid w:val="00E63EA8"/>
    <w:rsid w:val="00E73DB1"/>
    <w:rsid w:val="00E80BFA"/>
    <w:rsid w:val="00E81CA0"/>
    <w:rsid w:val="00E86C3B"/>
    <w:rsid w:val="00E967AE"/>
    <w:rsid w:val="00EA5417"/>
    <w:rsid w:val="00EA5C06"/>
    <w:rsid w:val="00EB19A0"/>
    <w:rsid w:val="00EB4792"/>
    <w:rsid w:val="00EB5C56"/>
    <w:rsid w:val="00ED19CE"/>
    <w:rsid w:val="00ED7979"/>
    <w:rsid w:val="00ED7E01"/>
    <w:rsid w:val="00ED7F88"/>
    <w:rsid w:val="00EE0C3B"/>
    <w:rsid w:val="00EF0903"/>
    <w:rsid w:val="00F0145D"/>
    <w:rsid w:val="00F15C5D"/>
    <w:rsid w:val="00F329DF"/>
    <w:rsid w:val="00F5206B"/>
    <w:rsid w:val="00F52FA0"/>
    <w:rsid w:val="00F53D0D"/>
    <w:rsid w:val="00F617AA"/>
    <w:rsid w:val="00F72A55"/>
    <w:rsid w:val="00F77B31"/>
    <w:rsid w:val="00F868D2"/>
    <w:rsid w:val="00F91FB0"/>
    <w:rsid w:val="00F9214F"/>
    <w:rsid w:val="00FB14D2"/>
    <w:rsid w:val="00FC2AA6"/>
    <w:rsid w:val="00FC3502"/>
    <w:rsid w:val="00FC3AF1"/>
    <w:rsid w:val="00FE4B1B"/>
    <w:rsid w:val="00FE6F06"/>
    <w:rsid w:val="00FF3DCA"/>
    <w:rsid w:val="00FF4033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8657B"/>
  <w15:chartTrackingRefBased/>
  <w15:docId w15:val="{0B129D86-5ED8-4A94-B0A7-8B52B37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E3"/>
  </w:style>
  <w:style w:type="paragraph" w:styleId="Heading1">
    <w:name w:val="heading 1"/>
    <w:basedOn w:val="Normal"/>
    <w:next w:val="Normal"/>
    <w:link w:val="Heading1Char"/>
    <w:uiPriority w:val="9"/>
    <w:qFormat/>
    <w:rsid w:val="00696DE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D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D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D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D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D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D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DE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6DE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6DE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96DE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96DE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96D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96DE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96DE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6DE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numbering" w:customStyle="1" w:styleId="NoList1">
    <w:name w:val="No List1"/>
    <w:next w:val="NoList"/>
    <w:uiPriority w:val="99"/>
    <w:semiHidden/>
    <w:rsid w:val="00FC2AA6"/>
  </w:style>
  <w:style w:type="paragraph" w:styleId="BodyTextIndent">
    <w:name w:val="Body Text Indent"/>
    <w:basedOn w:val="Normal"/>
    <w:link w:val="BodyTextIndentChar"/>
    <w:rsid w:val="00FC2AA6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link w:val="BodyTextIndent"/>
    <w:rsid w:val="00FC2AA6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AA6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FC2AA6"/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Normal"/>
    <w:link w:val="BodyTextChar"/>
    <w:rsid w:val="00FC2AA6"/>
    <w:pPr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link w:val="BodyText"/>
    <w:rsid w:val="00FC2AA6"/>
    <w:rPr>
      <w:rFonts w:ascii="Arial" w:eastAsia="Times New Roman" w:hAnsi="Arial" w:cs="Arial"/>
      <w:sz w:val="32"/>
      <w:szCs w:val="32"/>
    </w:rPr>
  </w:style>
  <w:style w:type="paragraph" w:styleId="BodyText3">
    <w:name w:val="Body Text 3"/>
    <w:basedOn w:val="Normal"/>
    <w:link w:val="BodyText3Char"/>
    <w:rsid w:val="00FC2AA6"/>
    <w:pPr>
      <w:spacing w:after="0" w:line="240" w:lineRule="auto"/>
    </w:pPr>
    <w:rPr>
      <w:rFonts w:ascii="Arial" w:eastAsia="Times New Roman" w:hAnsi="Arial" w:cs="Arial"/>
      <w:b/>
      <w:bCs/>
      <w:i/>
      <w:iCs/>
      <w:color w:val="FF0000"/>
      <w:sz w:val="48"/>
      <w:szCs w:val="48"/>
    </w:rPr>
  </w:style>
  <w:style w:type="character" w:customStyle="1" w:styleId="BodyText3Char">
    <w:name w:val="Body Text 3 Char"/>
    <w:link w:val="BodyText3"/>
    <w:rsid w:val="00FC2AA6"/>
    <w:rPr>
      <w:rFonts w:ascii="Arial" w:eastAsia="Times New Roman" w:hAnsi="Arial" w:cs="Arial"/>
      <w:b/>
      <w:bCs/>
      <w:i/>
      <w:iCs/>
      <w:color w:val="FF0000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696D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6D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DE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DE3"/>
    <w:rPr>
      <w:caps/>
      <w:color w:val="404040" w:themeColor="text1" w:themeTint="BF"/>
      <w:spacing w:val="20"/>
      <w:sz w:val="28"/>
      <w:szCs w:val="28"/>
    </w:rPr>
  </w:style>
  <w:style w:type="character" w:styleId="Hyperlink">
    <w:name w:val="Hyperlink"/>
    <w:uiPriority w:val="99"/>
    <w:rsid w:val="00FC2AA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96D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FC2A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semiHidden/>
    <w:rsid w:val="00FC2AA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PageNumber">
    <w:name w:val="page number"/>
    <w:basedOn w:val="DefaultParagraphFont"/>
    <w:rsid w:val="00FC2AA6"/>
  </w:style>
  <w:style w:type="paragraph" w:styleId="Header">
    <w:name w:val="header"/>
    <w:basedOn w:val="Normal"/>
    <w:link w:val="HeaderChar"/>
    <w:uiPriority w:val="99"/>
    <w:rsid w:val="00FC2AA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FC2AA6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uiPriority w:val="99"/>
    <w:rsid w:val="00FC2AA6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FC2AA6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FC2AA6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FC2AA6"/>
    <w:pPr>
      <w:spacing w:after="24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link w:val="BodyTextIndent3"/>
    <w:rsid w:val="00FC2AA6"/>
    <w:rPr>
      <w:rFonts w:ascii="Arial" w:eastAsia="Times New Roman" w:hAnsi="Arial" w:cs="Arial"/>
      <w:sz w:val="24"/>
      <w:szCs w:val="24"/>
    </w:rPr>
  </w:style>
  <w:style w:type="paragraph" w:customStyle="1" w:styleId="MainHeading-L">
    <w:name w:val="Main Heading-L"/>
    <w:basedOn w:val="Normal"/>
    <w:rsid w:val="00FC2AA6"/>
    <w:pPr>
      <w:autoSpaceDE w:val="0"/>
      <w:autoSpaceDN w:val="0"/>
      <w:adjustRightInd w:val="0"/>
      <w:spacing w:after="0" w:line="560" w:lineRule="atLeast"/>
    </w:pPr>
    <w:rPr>
      <w:rFonts w:ascii="Impact" w:eastAsia="Times New Roman" w:hAnsi="Impact"/>
      <w:sz w:val="56"/>
      <w:szCs w:val="56"/>
    </w:rPr>
  </w:style>
  <w:style w:type="paragraph" w:styleId="NormalWeb">
    <w:name w:val="Normal (Web)"/>
    <w:basedOn w:val="Normal"/>
    <w:rsid w:val="00FC2AA6"/>
    <w:pPr>
      <w:spacing w:after="240" w:line="240" w:lineRule="auto"/>
    </w:pPr>
    <w:rPr>
      <w:rFonts w:ascii="Trebuchet MS" w:eastAsia="Times New Roman" w:hAnsi="Trebuchet MS"/>
      <w:color w:val="000000"/>
      <w:sz w:val="20"/>
      <w:szCs w:val="20"/>
    </w:rPr>
  </w:style>
  <w:style w:type="paragraph" w:customStyle="1" w:styleId="note">
    <w:name w:val="note"/>
    <w:basedOn w:val="Normal"/>
    <w:rsid w:val="00FC2AA6"/>
    <w:pPr>
      <w:spacing w:after="24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esponsibility">
    <w:name w:val="responsibility"/>
    <w:basedOn w:val="Normal"/>
    <w:rsid w:val="00FC2AA6"/>
    <w:pPr>
      <w:spacing w:after="24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wacnumber1">
    <w:name w:val="wacnumber1"/>
    <w:rsid w:val="00FC2AA6"/>
    <w:rPr>
      <w:rFonts w:ascii="Arial" w:hAnsi="Arial" w:cs="Arial" w:hint="default"/>
      <w:b/>
      <w:bCs/>
      <w:i w:val="0"/>
      <w:iCs w:val="0"/>
      <w:smallCaps w:val="0"/>
      <w:color w:val="000000"/>
      <w:sz w:val="20"/>
      <w:szCs w:val="20"/>
    </w:rPr>
  </w:style>
  <w:style w:type="character" w:customStyle="1" w:styleId="rulesummary1">
    <w:name w:val="rulesummary1"/>
    <w:rsid w:val="00FC2AA6"/>
    <w:rPr>
      <w:rFonts w:ascii="Arial" w:hAnsi="Arial" w:cs="Arial" w:hint="default"/>
      <w:b/>
      <w:bCs/>
      <w:i w:val="0"/>
      <w:iCs w:val="0"/>
      <w:smallCaps w:val="0"/>
      <w:color w:val="006633"/>
      <w:sz w:val="24"/>
      <w:szCs w:val="24"/>
    </w:rPr>
  </w:style>
  <w:style w:type="character" w:styleId="Strong">
    <w:name w:val="Strong"/>
    <w:basedOn w:val="DefaultParagraphFont"/>
    <w:uiPriority w:val="22"/>
    <w:qFormat/>
    <w:rsid w:val="00696DE3"/>
    <w:rPr>
      <w:b/>
      <w:bCs/>
    </w:rPr>
  </w:style>
  <w:style w:type="paragraph" w:styleId="BodyText2">
    <w:name w:val="Body Text 2"/>
    <w:basedOn w:val="Normal"/>
    <w:link w:val="BodyText2Char"/>
    <w:rsid w:val="00FC2AA6"/>
    <w:pPr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link w:val="BodyText2"/>
    <w:rsid w:val="00FC2AA6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C2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lockText">
    <w:name w:val="Block Text"/>
    <w:basedOn w:val="Normal"/>
    <w:rsid w:val="00FC2AA6"/>
    <w:pPr>
      <w:spacing w:after="0" w:line="240" w:lineRule="auto"/>
      <w:ind w:left="540" w:right="-396" w:hanging="540"/>
    </w:pPr>
    <w:rPr>
      <w:rFonts w:ascii="Arial" w:eastAsia="Times New Roman" w:hAnsi="Arial"/>
      <w:szCs w:val="20"/>
    </w:rPr>
  </w:style>
  <w:style w:type="table" w:customStyle="1" w:styleId="TableGrid">
    <w:name w:val="TableGrid"/>
    <w:rsid w:val="00FC2A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C2AA6"/>
    <w:rPr>
      <w:rFonts w:ascii="Arial" w:eastAsia="PMingLiU" w:hAnsi="Arial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C2AA6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link w:val="BalloonText"/>
    <w:uiPriority w:val="99"/>
    <w:rsid w:val="00FC2AA6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FC2AA6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rsid w:val="0051299A"/>
  </w:style>
  <w:style w:type="character" w:styleId="CommentReference">
    <w:name w:val="annotation reference"/>
    <w:uiPriority w:val="99"/>
    <w:semiHidden/>
    <w:unhideWhenUsed/>
    <w:rsid w:val="0068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59B"/>
    <w:rPr>
      <w:b/>
      <w:bCs/>
    </w:rPr>
  </w:style>
  <w:style w:type="paragraph" w:styleId="Revision">
    <w:name w:val="Revision"/>
    <w:hidden/>
    <w:uiPriority w:val="99"/>
    <w:semiHidden/>
    <w:rsid w:val="00F15C5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1A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BF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BF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80BFA"/>
    <w:rPr>
      <w:vertAlign w:val="superscript"/>
    </w:rPr>
  </w:style>
  <w:style w:type="paragraph" w:styleId="NoSpacing">
    <w:name w:val="No Spacing"/>
    <w:uiPriority w:val="1"/>
    <w:qFormat/>
    <w:rsid w:val="00696DE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96DE3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96DE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6D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DE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DE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6D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6DE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96D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6DE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6DE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D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925060-0B8E-4E9A-9092-DA55DA0A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Accident Prevention Program (APP) for the Construction Industry</vt:lpstr>
    </vt:vector>
  </TitlesOfParts>
  <Manager>Anne F Soiza</Manager>
  <Company>Dept. of Labor and Industries</Company>
  <LinksUpToDate>false</LinksUpToDate>
  <CharactersWithSpaces>3586</CharactersWithSpaces>
  <SharedDoc>false</SharedDoc>
  <HLinks>
    <vt:vector size="192" baseType="variant">
      <vt:variant>
        <vt:i4>4849665</vt:i4>
      </vt:variant>
      <vt:variant>
        <vt:i4>285</vt:i4>
      </vt:variant>
      <vt:variant>
        <vt:i4>0</vt:i4>
      </vt:variant>
      <vt:variant>
        <vt:i4>5</vt:i4>
      </vt:variant>
      <vt:variant>
        <vt:lpwstr>http://www.lni.wa.gov/Safety/</vt:lpwstr>
      </vt:variant>
      <vt:variant>
        <vt:lpwstr/>
      </vt:variant>
      <vt:variant>
        <vt:i4>4522053</vt:i4>
      </vt:variant>
      <vt:variant>
        <vt:i4>282</vt:i4>
      </vt:variant>
      <vt:variant>
        <vt:i4>0</vt:i4>
      </vt:variant>
      <vt:variant>
        <vt:i4>5</vt:i4>
      </vt:variant>
      <vt:variant>
        <vt:lpwstr>https://lni.wa.gov/safety-health/safety-rules/chapter-pdfs/WAC296-876.pdf</vt:lpwstr>
      </vt:variant>
      <vt:variant>
        <vt:lpwstr/>
      </vt:variant>
      <vt:variant>
        <vt:i4>4522055</vt:i4>
      </vt:variant>
      <vt:variant>
        <vt:i4>279</vt:i4>
      </vt:variant>
      <vt:variant>
        <vt:i4>0</vt:i4>
      </vt:variant>
      <vt:variant>
        <vt:i4>5</vt:i4>
      </vt:variant>
      <vt:variant>
        <vt:lpwstr>https://lni.wa.gov/safety-health/safety-rules/chapter-pdfs/WAC296-874.pdf</vt:lpwstr>
      </vt:variant>
      <vt:variant>
        <vt:lpwstr/>
      </vt:variant>
      <vt:variant>
        <vt:i4>4456522</vt:i4>
      </vt:variant>
      <vt:variant>
        <vt:i4>276</vt:i4>
      </vt:variant>
      <vt:variant>
        <vt:i4>0</vt:i4>
      </vt:variant>
      <vt:variant>
        <vt:i4>5</vt:i4>
      </vt:variant>
      <vt:variant>
        <vt:lpwstr>https://lni.wa.gov/safety-health/safety-rules/chapter-pdfs/WAC296-869.pdf</vt:lpwstr>
      </vt:variant>
      <vt:variant>
        <vt:lpwstr/>
      </vt:variant>
      <vt:variant>
        <vt:i4>4456512</vt:i4>
      </vt:variant>
      <vt:variant>
        <vt:i4>273</vt:i4>
      </vt:variant>
      <vt:variant>
        <vt:i4>0</vt:i4>
      </vt:variant>
      <vt:variant>
        <vt:i4>5</vt:i4>
      </vt:variant>
      <vt:variant>
        <vt:lpwstr>https://lni.wa.gov/safety-health/safety-rules/chapter-pdfs/WAC296-863.pdf</vt:lpwstr>
      </vt:variant>
      <vt:variant>
        <vt:lpwstr/>
      </vt:variant>
      <vt:variant>
        <vt:i4>4325440</vt:i4>
      </vt:variant>
      <vt:variant>
        <vt:i4>270</vt:i4>
      </vt:variant>
      <vt:variant>
        <vt:i4>0</vt:i4>
      </vt:variant>
      <vt:variant>
        <vt:i4>5</vt:i4>
      </vt:variant>
      <vt:variant>
        <vt:lpwstr>https://lni.wa.gov/safety-health/safety-rules/chapter-pdfs/WAC296-803.pdf</vt:lpwstr>
      </vt:variant>
      <vt:variant>
        <vt:lpwstr/>
      </vt:variant>
      <vt:variant>
        <vt:i4>4325443</vt:i4>
      </vt:variant>
      <vt:variant>
        <vt:i4>267</vt:i4>
      </vt:variant>
      <vt:variant>
        <vt:i4>0</vt:i4>
      </vt:variant>
      <vt:variant>
        <vt:i4>5</vt:i4>
      </vt:variant>
      <vt:variant>
        <vt:lpwstr>https://lni.wa.gov/safety-health/safety-rules/chapter-pdfs/WAC296-800.pdf</vt:lpwstr>
      </vt:variant>
      <vt:variant>
        <vt:lpwstr/>
      </vt:variant>
      <vt:variant>
        <vt:i4>4653135</vt:i4>
      </vt:variant>
      <vt:variant>
        <vt:i4>264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/>
      </vt:variant>
      <vt:variant>
        <vt:i4>1835079</vt:i4>
      </vt:variant>
      <vt:variant>
        <vt:i4>261</vt:i4>
      </vt:variant>
      <vt:variant>
        <vt:i4>0</vt:i4>
      </vt:variant>
      <vt:variant>
        <vt:i4>5</vt:i4>
      </vt:variant>
      <vt:variant>
        <vt:lpwstr>https://lni.wa.gov/safety-health/safety-rules/chapter-pdfs/WAC296-62.pdf</vt:lpwstr>
      </vt:variant>
      <vt:variant>
        <vt:lpwstr/>
      </vt:variant>
      <vt:variant>
        <vt:i4>1704003</vt:i4>
      </vt:variant>
      <vt:variant>
        <vt:i4>258</vt:i4>
      </vt:variant>
      <vt:variant>
        <vt:i4>0</vt:i4>
      </vt:variant>
      <vt:variant>
        <vt:i4>5</vt:i4>
      </vt:variant>
      <vt:variant>
        <vt:lpwstr>https://lni.wa.gov/safety-health/safety-rules/chapter-pdfs/WAC296-24.pdf</vt:lpwstr>
      </vt:variant>
      <vt:variant>
        <vt:lpwstr/>
      </vt:variant>
      <vt:variant>
        <vt:i4>5111859</vt:i4>
      </vt:variant>
      <vt:variant>
        <vt:i4>252</vt:i4>
      </vt:variant>
      <vt:variant>
        <vt:i4>0</vt:i4>
      </vt:variant>
      <vt:variant>
        <vt:i4>5</vt:i4>
      </vt:variant>
      <vt:variant>
        <vt:lpwstr>https://lni.wa.gov/safety-health/safety-rules/chapter-pdfs/WAC296-24.pdf</vt:lpwstr>
      </vt:variant>
      <vt:variant>
        <vt:lpwstr>WAC_296_24_88050</vt:lpwstr>
      </vt:variant>
      <vt:variant>
        <vt:i4>5111859</vt:i4>
      </vt:variant>
      <vt:variant>
        <vt:i4>249</vt:i4>
      </vt:variant>
      <vt:variant>
        <vt:i4>0</vt:i4>
      </vt:variant>
      <vt:variant>
        <vt:i4>5</vt:i4>
      </vt:variant>
      <vt:variant>
        <vt:lpwstr>https://lni.wa.gov/safety-health/safety-rules/chapter-pdfs/WAC296-24.pdf</vt:lpwstr>
      </vt:variant>
      <vt:variant>
        <vt:lpwstr>WAC_296_24_88050</vt:lpwstr>
      </vt:variant>
      <vt:variant>
        <vt:i4>7405663</vt:i4>
      </vt:variant>
      <vt:variant>
        <vt:i4>246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>WAC_296_155_24601</vt:lpwstr>
      </vt:variant>
      <vt:variant>
        <vt:i4>7405663</vt:i4>
      </vt:variant>
      <vt:variant>
        <vt:i4>153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>WAC_296_155_24601</vt:lpwstr>
      </vt:variant>
      <vt:variant>
        <vt:i4>4325450</vt:i4>
      </vt:variant>
      <vt:variant>
        <vt:i4>129</vt:i4>
      </vt:variant>
      <vt:variant>
        <vt:i4>0</vt:i4>
      </vt:variant>
      <vt:variant>
        <vt:i4>5</vt:i4>
      </vt:variant>
      <vt:variant>
        <vt:lpwstr>https://lni.wa.gov/safety-health/safety-rules/chapter-pdfs/WAC296-809.pdf</vt:lpwstr>
      </vt:variant>
      <vt:variant>
        <vt:lpwstr/>
      </vt:variant>
      <vt:variant>
        <vt:i4>4325450</vt:i4>
      </vt:variant>
      <vt:variant>
        <vt:i4>126</vt:i4>
      </vt:variant>
      <vt:variant>
        <vt:i4>0</vt:i4>
      </vt:variant>
      <vt:variant>
        <vt:i4>5</vt:i4>
      </vt:variant>
      <vt:variant>
        <vt:lpwstr>https://lni.wa.gov/safety-health/safety-rules/chapter-pdfs/WAC296-809.pdf</vt:lpwstr>
      </vt:variant>
      <vt:variant>
        <vt:lpwstr/>
      </vt:variant>
      <vt:variant>
        <vt:i4>4653135</vt:i4>
      </vt:variant>
      <vt:variant>
        <vt:i4>123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/>
      </vt:variant>
      <vt:variant>
        <vt:i4>4980833</vt:i4>
      </vt:variant>
      <vt:variant>
        <vt:i4>114</vt:i4>
      </vt:variant>
      <vt:variant>
        <vt:i4>0</vt:i4>
      </vt:variant>
      <vt:variant>
        <vt:i4>5</vt:i4>
      </vt:variant>
      <vt:variant>
        <vt:lpwstr>http://www.lni.wa.gov/safety/trainingprevention/online/courseinfo.asp?P_ID=197</vt:lpwstr>
      </vt:variant>
      <vt:variant>
        <vt:lpwstr/>
      </vt:variant>
      <vt:variant>
        <vt:i4>7405663</vt:i4>
      </vt:variant>
      <vt:variant>
        <vt:i4>111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>WAC_296_155_24601</vt:lpwstr>
      </vt:variant>
      <vt:variant>
        <vt:i4>4653160</vt:i4>
      </vt:variant>
      <vt:variant>
        <vt:i4>108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>WAC_296_155_325</vt:lpwstr>
      </vt:variant>
      <vt:variant>
        <vt:i4>4653135</vt:i4>
      </vt:variant>
      <vt:variant>
        <vt:i4>105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/>
      </vt:variant>
      <vt:variant>
        <vt:i4>4194413</vt:i4>
      </vt:variant>
      <vt:variant>
        <vt:i4>96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>WAC_296_155_650</vt:lpwstr>
      </vt:variant>
      <vt:variant>
        <vt:i4>4194368</vt:i4>
      </vt:variant>
      <vt:variant>
        <vt:i4>75</vt:i4>
      </vt:variant>
      <vt:variant>
        <vt:i4>0</vt:i4>
      </vt:variant>
      <vt:variant>
        <vt:i4>5</vt:i4>
      </vt:variant>
      <vt:variant>
        <vt:lpwstr>https://lni.wa.gov/safety-health/safety-rules/chapter-pdfs/WAC296-823.pdf</vt:lpwstr>
      </vt:variant>
      <vt:variant>
        <vt:lpwstr/>
      </vt:variant>
      <vt:variant>
        <vt:i4>4325443</vt:i4>
      </vt:variant>
      <vt:variant>
        <vt:i4>60</vt:i4>
      </vt:variant>
      <vt:variant>
        <vt:i4>0</vt:i4>
      </vt:variant>
      <vt:variant>
        <vt:i4>5</vt:i4>
      </vt:variant>
      <vt:variant>
        <vt:lpwstr>https://lni.wa.gov/safety-health/safety-rules/chapter-pdfs/WAC296-800.pdf</vt:lpwstr>
      </vt:variant>
      <vt:variant>
        <vt:lpwstr/>
      </vt:variant>
      <vt:variant>
        <vt:i4>4653135</vt:i4>
      </vt:variant>
      <vt:variant>
        <vt:i4>57</vt:i4>
      </vt:variant>
      <vt:variant>
        <vt:i4>0</vt:i4>
      </vt:variant>
      <vt:variant>
        <vt:i4>5</vt:i4>
      </vt:variant>
      <vt:variant>
        <vt:lpwstr>https://lni.wa.gov/safety-health/safety-rules/chapter-pdfs/WAC296-155.pdf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https://lni.wa.gov/forms-publications/F700-074-909.pdf</vt:lpwstr>
      </vt:variant>
      <vt:variant>
        <vt:lpwstr/>
      </vt:variant>
      <vt:variant>
        <vt:i4>7667824</vt:i4>
      </vt:variant>
      <vt:variant>
        <vt:i4>45</vt:i4>
      </vt:variant>
      <vt:variant>
        <vt:i4>0</vt:i4>
      </vt:variant>
      <vt:variant>
        <vt:i4>5</vt:i4>
      </vt:variant>
      <vt:variant>
        <vt:lpwstr>http://www.lni.wa.gov/FormPub/Detail.asp?DocID=1612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https://lni.wa.gov/forms-publications/F242-191-909.pdf</vt:lpwstr>
      </vt:variant>
      <vt:variant>
        <vt:lpwstr/>
      </vt:variant>
      <vt:variant>
        <vt:i4>6357108</vt:i4>
      </vt:variant>
      <vt:variant>
        <vt:i4>39</vt:i4>
      </vt:variant>
      <vt:variant>
        <vt:i4>0</vt:i4>
      </vt:variant>
      <vt:variant>
        <vt:i4>5</vt:i4>
      </vt:variant>
      <vt:variant>
        <vt:lpwstr>https://lni.wa.gov/forms-publications/F416-081-909.pdf</vt:lpwstr>
      </vt:variant>
      <vt:variant>
        <vt:lpwstr/>
      </vt:variant>
      <vt:variant>
        <vt:i4>3342372</vt:i4>
      </vt:variant>
      <vt:variant>
        <vt:i4>12</vt:i4>
      </vt:variant>
      <vt:variant>
        <vt:i4>0</vt:i4>
      </vt:variant>
      <vt:variant>
        <vt:i4>5</vt:i4>
      </vt:variant>
      <vt:variant>
        <vt:lpwstr>http://www.lni.wa.gov/IPUB/242-191-909.pdf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http://www.lni.wa.gov/IPUB/700-074-909.pdf</vt:lpwstr>
      </vt:variant>
      <vt:variant>
        <vt:lpwstr/>
      </vt:variant>
      <vt:variant>
        <vt:i4>3145760</vt:i4>
      </vt:variant>
      <vt:variant>
        <vt:i4>6</vt:i4>
      </vt:variant>
      <vt:variant>
        <vt:i4>0</vt:i4>
      </vt:variant>
      <vt:variant>
        <vt:i4>5</vt:i4>
      </vt:variant>
      <vt:variant>
        <vt:lpwstr>http://www.lni.wa.gov/IPUB/416-081-909.pdf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Accident Prevention Program (APP) for the Construction Industry</dc:title>
  <dc:subject>Sample safety plan for construction</dc:subject>
  <dc:creator>DOSH</dc:creator>
  <cp:keywords>APP for construction, Construction HASP sample, APP template construction industry, industry sample safety plan</cp:keywords>
  <dc:description/>
  <cp:lastModifiedBy>Matt Musgrave</cp:lastModifiedBy>
  <cp:revision>5</cp:revision>
  <cp:lastPrinted>2021-05-17T14:05:00Z</cp:lastPrinted>
  <dcterms:created xsi:type="dcterms:W3CDTF">2021-05-17T14:05:00Z</dcterms:created>
  <dcterms:modified xsi:type="dcterms:W3CDTF">2021-05-17T16:20:00Z</dcterms:modified>
  <cp:category>DOSH Sample safety programs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